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0A0" w:firstRow="1" w:lastRow="0" w:firstColumn="1" w:lastColumn="0" w:noHBand="0" w:noVBand="0"/>
      </w:tblPr>
      <w:tblGrid>
        <w:gridCol w:w="10420"/>
      </w:tblGrid>
      <w:tr w:rsidR="001823BC" w:rsidTr="007669B5">
        <w:trPr>
          <w:trHeight w:val="229"/>
        </w:trPr>
        <w:tc>
          <w:tcPr>
            <w:tcW w:w="10420" w:type="dxa"/>
          </w:tcPr>
          <w:p w:rsidR="001823BC" w:rsidRPr="00D946C6" w:rsidRDefault="00D946C6" w:rsidP="00B01900">
            <w:pPr>
              <w:pStyle w:val="Address"/>
            </w:pPr>
            <w:bookmarkStart w:id="0" w:name="_GoBack"/>
            <w:bookmarkEnd w:id="0"/>
            <w:r>
              <w:rPr>
                <w:noProof/>
                <w:color w:val="FF8000" w:themeColor="background2"/>
                <w:lang w:eastAsia="en-AU"/>
              </w:rPr>
              <w:drawing>
                <wp:inline distT="0" distB="0" distL="0" distR="0" wp14:anchorId="5CBEBAC2" wp14:editId="1C0F861C">
                  <wp:extent cx="1905533" cy="396755"/>
                  <wp:effectExtent l="0" t="0" r="0" b="3810"/>
                  <wp:docPr id="2" name="Picture 2" descr="C:\Users\nickdermentzis\AppData\Local\Microsoft\Windows\Temporary Internet Files\Content.Word\ClinicalLabs_H_151+266-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kdermentzis\AppData\Local\Microsoft\Windows\Temporary Internet Files\Content.Word\ClinicalLabs_H_151+266-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619" cy="396773"/>
                          </a:xfrm>
                          <a:prstGeom prst="rect">
                            <a:avLst/>
                          </a:prstGeom>
                          <a:noFill/>
                          <a:ln>
                            <a:noFill/>
                          </a:ln>
                        </pic:spPr>
                      </pic:pic>
                    </a:graphicData>
                  </a:graphic>
                </wp:inline>
              </w:drawing>
            </w:r>
          </w:p>
        </w:tc>
      </w:tr>
    </w:tbl>
    <w:p w:rsidR="00375F8C" w:rsidRPr="002A0F69" w:rsidRDefault="00375F8C" w:rsidP="00375F8C">
      <w:pPr>
        <w:rPr>
          <w:b/>
          <w:color w:val="8137C1" w:themeColor="text2"/>
          <w:sz w:val="28"/>
        </w:rPr>
      </w:pPr>
      <w:r w:rsidRPr="002A0F69">
        <w:rPr>
          <w:b/>
          <w:color w:val="8137C1" w:themeColor="text2"/>
          <w:sz w:val="28"/>
        </w:rPr>
        <w:t>MEDIA STATEMENT  </w:t>
      </w:r>
    </w:p>
    <w:p w:rsidR="00375F8C" w:rsidRDefault="00375F8C" w:rsidP="00375F8C"/>
    <w:p w:rsidR="00375F8C" w:rsidRDefault="00375F8C" w:rsidP="00375F8C">
      <w:r>
        <w:t xml:space="preserve">DATE: </w:t>
      </w:r>
      <w:r w:rsidR="00B815CC">
        <w:t>2</w:t>
      </w:r>
      <w:r w:rsidR="00450B94">
        <w:t>2</w:t>
      </w:r>
      <w:r w:rsidR="00162676">
        <w:t xml:space="preserve"> June 2016</w:t>
      </w:r>
    </w:p>
    <w:p w:rsidR="00375F8C" w:rsidRDefault="00375F8C" w:rsidP="00375F8C"/>
    <w:p w:rsidR="00375F8C" w:rsidRPr="002A0F69" w:rsidRDefault="00375F8C" w:rsidP="002A0F69">
      <w:pPr>
        <w:tabs>
          <w:tab w:val="left" w:pos="9356"/>
        </w:tabs>
        <w:ind w:right="848"/>
        <w:jc w:val="center"/>
        <w:rPr>
          <w:b/>
          <w:sz w:val="28"/>
        </w:rPr>
      </w:pPr>
      <w:r w:rsidRPr="002A0F69">
        <w:rPr>
          <w:b/>
          <w:sz w:val="28"/>
        </w:rPr>
        <w:t xml:space="preserve">AUSTRALIAN CLINICAL LABS TO ACQUIRE ST JOHN OF GOD </w:t>
      </w:r>
      <w:r w:rsidR="002A0F69" w:rsidRPr="002A0F69">
        <w:rPr>
          <w:b/>
          <w:sz w:val="28"/>
        </w:rPr>
        <w:t>P</w:t>
      </w:r>
      <w:r w:rsidRPr="002A0F69">
        <w:rPr>
          <w:b/>
          <w:sz w:val="28"/>
        </w:rPr>
        <w:t>ATHOLOGY</w:t>
      </w:r>
    </w:p>
    <w:p w:rsidR="00375F8C" w:rsidRDefault="00375F8C" w:rsidP="00375F8C"/>
    <w:p w:rsidR="00375F8C" w:rsidRDefault="00375F8C" w:rsidP="00375F8C"/>
    <w:p w:rsidR="00375F8C" w:rsidRDefault="00375F8C" w:rsidP="002A0F69">
      <w:pPr>
        <w:tabs>
          <w:tab w:val="left" w:pos="9356"/>
        </w:tabs>
        <w:ind w:right="848"/>
        <w:jc w:val="both"/>
      </w:pPr>
      <w:r>
        <w:t>Australian Clinical Labs (Clinical Labs) announces that it has entered into an agreement to acquire St John of God Pathology (SJGP) from St John of God Health</w:t>
      </w:r>
      <w:r w:rsidR="00A24355">
        <w:t xml:space="preserve"> Care</w:t>
      </w:r>
      <w:r>
        <w:t xml:space="preserve"> (SJGH</w:t>
      </w:r>
      <w:r w:rsidR="00162676">
        <w:t>C</w:t>
      </w:r>
      <w:r>
        <w:t>). As part of the agreement SJGHC will acquire a minority stake in Clinical Labs.</w:t>
      </w:r>
      <w:r w:rsidR="00157C84">
        <w:t xml:space="preserve"> </w:t>
      </w:r>
      <w:r>
        <w:t>The transfer of ownership of SJGP to Clinical Labs is expected to take place by the end of September 2016 following discussions with the regulator.   </w:t>
      </w:r>
    </w:p>
    <w:p w:rsidR="00375F8C" w:rsidRDefault="00375F8C" w:rsidP="002A0F69">
      <w:pPr>
        <w:tabs>
          <w:tab w:val="left" w:pos="9356"/>
        </w:tabs>
        <w:ind w:right="848"/>
        <w:jc w:val="both"/>
      </w:pPr>
    </w:p>
    <w:p w:rsidR="00375F8C" w:rsidRDefault="00375F8C" w:rsidP="002A0F69">
      <w:pPr>
        <w:tabs>
          <w:tab w:val="left" w:pos="9356"/>
        </w:tabs>
        <w:ind w:right="848"/>
        <w:jc w:val="both"/>
      </w:pPr>
      <w:r>
        <w:t xml:space="preserve">Clinical Labs is Australia’s third largest specialist pathology provider with 2,500 employees across 50 laboratories and 600 collection centres operating in Victoria, NT and NSW. The vision of Clinical Labs is to establish a leading pathology provider with the scale </w:t>
      </w:r>
      <w:r>
        <w:lastRenderedPageBreak/>
        <w:t xml:space="preserve">and reach to enable greater investment in leading technology specialist services in a rapidly changing healthcare environment. SJGP is the fourth largest pathology provider in </w:t>
      </w:r>
      <w:r w:rsidR="00A24355">
        <w:t>the nation w</w:t>
      </w:r>
      <w:r>
        <w:t>ith 1</w:t>
      </w:r>
      <w:r w:rsidR="00A24355">
        <w:t>9</w:t>
      </w:r>
      <w:r>
        <w:t xml:space="preserve"> laboratories and 1,243 employees operating in Victoria and Western Australia. </w:t>
      </w:r>
    </w:p>
    <w:p w:rsidR="00375F8C" w:rsidRDefault="00375F8C" w:rsidP="002A0F69">
      <w:pPr>
        <w:tabs>
          <w:tab w:val="left" w:pos="9356"/>
        </w:tabs>
        <w:ind w:right="848"/>
        <w:jc w:val="both"/>
      </w:pPr>
    </w:p>
    <w:p w:rsidR="00375F8C" w:rsidRDefault="00375F8C" w:rsidP="002A0F69">
      <w:pPr>
        <w:tabs>
          <w:tab w:val="left" w:pos="9356"/>
        </w:tabs>
        <w:ind w:right="848"/>
        <w:jc w:val="both"/>
      </w:pPr>
      <w:r>
        <w:t xml:space="preserve">This transaction will create a leading provider in pathology by bringing together two </w:t>
      </w:r>
      <w:r w:rsidR="00162676">
        <w:t xml:space="preserve">well respected </w:t>
      </w:r>
      <w:r>
        <w:t xml:space="preserve">businesses with over 80 years of operating history and </w:t>
      </w:r>
      <w:r w:rsidR="00157C84">
        <w:t xml:space="preserve">by </w:t>
      </w:r>
      <w:r>
        <w:t>extending geographic reach through</w:t>
      </w:r>
      <w:r w:rsidR="00A24355">
        <w:t>out</w:t>
      </w:r>
      <w:r>
        <w:t xml:space="preserve"> Australia</w:t>
      </w:r>
      <w:r w:rsidR="00157C84">
        <w:t>,</w:t>
      </w:r>
      <w:r>
        <w:t xml:space="preserve"> excluding QLD and Tasmania. Of particular significance the combined business will be a leader in specialist hospital pathology</w:t>
      </w:r>
      <w:r w:rsidR="00162676">
        <w:t>,</w:t>
      </w:r>
      <w:r>
        <w:t xml:space="preserve"> providing laboratory services </w:t>
      </w:r>
      <w:r w:rsidR="00162676">
        <w:t>to 6</w:t>
      </w:r>
      <w:r w:rsidR="00A24355">
        <w:t>4</w:t>
      </w:r>
      <w:r w:rsidR="00162676">
        <w:t xml:space="preserve"> hospitals</w:t>
      </w:r>
      <w:r>
        <w:t xml:space="preserve"> across Australia. </w:t>
      </w:r>
    </w:p>
    <w:p w:rsidR="00375F8C" w:rsidRDefault="00375F8C" w:rsidP="002A0F69">
      <w:pPr>
        <w:tabs>
          <w:tab w:val="left" w:pos="9356"/>
        </w:tabs>
        <w:ind w:right="848"/>
        <w:jc w:val="both"/>
      </w:pPr>
    </w:p>
    <w:p w:rsidR="00375F8C" w:rsidRDefault="00375F8C" w:rsidP="002A0F69">
      <w:pPr>
        <w:tabs>
          <w:tab w:val="left" w:pos="9356"/>
        </w:tabs>
        <w:ind w:right="848"/>
        <w:jc w:val="both"/>
      </w:pPr>
      <w:r>
        <w:t>Clinical Labs and SJGH</w:t>
      </w:r>
      <w:r w:rsidR="00162676">
        <w:t xml:space="preserve">C </w:t>
      </w:r>
      <w:r>
        <w:t>are now working together to satisfy all requirements to complete the transaction as quickly as possible</w:t>
      </w:r>
      <w:r w:rsidR="00162676">
        <w:t>. F</w:t>
      </w:r>
      <w:r>
        <w:t xml:space="preserve">urther announcements can be expected at completion of the acquisition. </w:t>
      </w:r>
    </w:p>
    <w:p w:rsidR="00375F8C" w:rsidRDefault="00375F8C" w:rsidP="002A0F69">
      <w:pPr>
        <w:tabs>
          <w:tab w:val="left" w:pos="9356"/>
        </w:tabs>
        <w:ind w:right="848"/>
        <w:jc w:val="both"/>
      </w:pPr>
    </w:p>
    <w:p w:rsidR="00375F8C" w:rsidRDefault="00375F8C" w:rsidP="002A0F69">
      <w:pPr>
        <w:tabs>
          <w:tab w:val="left" w:pos="9356"/>
        </w:tabs>
        <w:ind w:right="848"/>
        <w:jc w:val="both"/>
      </w:pPr>
      <w:r>
        <w:t>Commenting Melinda McGrath, CEO of Clinical Labs says;</w:t>
      </w:r>
    </w:p>
    <w:p w:rsidR="00375F8C" w:rsidRDefault="00375F8C" w:rsidP="002A0F69">
      <w:pPr>
        <w:tabs>
          <w:tab w:val="left" w:pos="9356"/>
        </w:tabs>
        <w:ind w:right="848"/>
        <w:jc w:val="both"/>
      </w:pPr>
    </w:p>
    <w:p w:rsidR="00375F8C" w:rsidRDefault="00375F8C" w:rsidP="002A0F69">
      <w:pPr>
        <w:tabs>
          <w:tab w:val="left" w:pos="9356"/>
        </w:tabs>
        <w:ind w:right="848"/>
        <w:jc w:val="both"/>
      </w:pPr>
      <w:r>
        <w:lastRenderedPageBreak/>
        <w:t>‘Clinical Labs is building an iconic focussed pathology provider of scale, speciali</w:t>
      </w:r>
      <w:r w:rsidR="00162676">
        <w:t>sation,</w:t>
      </w:r>
      <w:r>
        <w:t xml:space="preserve"> and expertise. The acquisition of SJGP represents an exciting and significant step in extending both our presence and specialist capability so that</w:t>
      </w:r>
      <w:r w:rsidR="00BC795C">
        <w:t xml:space="preserve"> we can best serve our referring medical practitioners</w:t>
      </w:r>
      <w:r>
        <w:t xml:space="preserve"> and patients. Pathology will be front and centr</w:t>
      </w:r>
      <w:r w:rsidR="00162676">
        <w:t xml:space="preserve">e </w:t>
      </w:r>
      <w:r>
        <w:t>in the development of modern healthcare</w:t>
      </w:r>
      <w:r w:rsidR="00162676">
        <w:t xml:space="preserve"> service with the </w:t>
      </w:r>
      <w:r>
        <w:t>clear trend towards greater personalisation of medicine, new diagnostic testing and earlier disease management programmes. Meeting future needs requires both investment and scale and the bringing together of Clinical Labs and SJGP represents an important step on that journey’    </w:t>
      </w:r>
    </w:p>
    <w:p w:rsidR="00375F8C" w:rsidRDefault="00375F8C" w:rsidP="00375F8C"/>
    <w:p w:rsidR="00375F8C" w:rsidRDefault="00375F8C" w:rsidP="00375F8C"/>
    <w:p w:rsidR="00375F8C" w:rsidRDefault="00375F8C" w:rsidP="00375F8C">
      <w:r>
        <w:t xml:space="preserve">ENDS. </w:t>
      </w:r>
    </w:p>
    <w:p w:rsidR="002A0F69" w:rsidRDefault="002A0F69" w:rsidP="00375F8C"/>
    <w:p w:rsidR="00375F8C" w:rsidRDefault="00375F8C">
      <w:r w:rsidRPr="00375F8C">
        <w:rPr>
          <w:b/>
          <w:sz w:val="22"/>
        </w:rPr>
        <w:t>Contact:</w:t>
      </w:r>
      <w:r w:rsidRPr="00375F8C">
        <w:rPr>
          <w:sz w:val="22"/>
        </w:rPr>
        <w:t xml:space="preserve"> Stephen Whitehead. </w:t>
      </w:r>
      <w:r>
        <w:rPr>
          <w:sz w:val="22"/>
        </w:rPr>
        <w:t>+</w:t>
      </w:r>
      <w:r w:rsidRPr="00375F8C">
        <w:rPr>
          <w:sz w:val="22"/>
        </w:rPr>
        <w:t>61 (0) 447 301 081</w:t>
      </w:r>
    </w:p>
    <w:sectPr w:rsidR="00375F8C" w:rsidSect="00B01900">
      <w:footerReference w:type="default" r:id="rId9"/>
      <w:headerReference w:type="first" r:id="rId10"/>
      <w:pgSz w:w="11906" w:h="16838" w:code="9"/>
      <w:pgMar w:top="1134" w:right="851" w:bottom="851" w:left="851" w:header="1076" w:footer="3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8A7" w:rsidRDefault="002B38A7" w:rsidP="001808DA">
      <w:r>
        <w:separator/>
      </w:r>
    </w:p>
  </w:endnote>
  <w:endnote w:type="continuationSeparator" w:id="0">
    <w:p w:rsidR="002B38A7" w:rsidRDefault="002B38A7" w:rsidP="0018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261653"/>
      <w:docPartObj>
        <w:docPartGallery w:val="Page Numbers (Bottom of Page)"/>
        <w:docPartUnique/>
      </w:docPartObj>
    </w:sdtPr>
    <w:sdtEndPr>
      <w:rPr>
        <w:noProof/>
      </w:rPr>
    </w:sdtEndPr>
    <w:sdtContent>
      <w:p w:rsidR="009C25A3" w:rsidRPr="009C25A3" w:rsidRDefault="009C25A3" w:rsidP="009C25A3">
        <w:pPr>
          <w:pStyle w:val="Footer"/>
          <w:rPr>
            <w:sz w:val="20"/>
            <w:szCs w:val="20"/>
          </w:rPr>
        </w:pPr>
        <w:r w:rsidRPr="009C25A3">
          <w:rPr>
            <w:sz w:val="20"/>
            <w:szCs w:val="20"/>
          </w:rPr>
          <w:t xml:space="preserve">Page </w:t>
        </w:r>
        <w:r w:rsidRPr="009C25A3">
          <w:rPr>
            <w:sz w:val="20"/>
            <w:szCs w:val="20"/>
          </w:rPr>
          <w:fldChar w:fldCharType="begin"/>
        </w:r>
        <w:r w:rsidRPr="009C25A3">
          <w:rPr>
            <w:sz w:val="20"/>
            <w:szCs w:val="20"/>
          </w:rPr>
          <w:instrText xml:space="preserve"> PAGE  \* Arabic  \* MERGEFORMAT </w:instrText>
        </w:r>
        <w:r w:rsidRPr="009C25A3">
          <w:rPr>
            <w:sz w:val="20"/>
            <w:szCs w:val="20"/>
          </w:rPr>
          <w:fldChar w:fldCharType="separate"/>
        </w:r>
        <w:r w:rsidR="00375F8C">
          <w:rPr>
            <w:noProof/>
            <w:sz w:val="20"/>
            <w:szCs w:val="20"/>
          </w:rPr>
          <w:t>2</w:t>
        </w:r>
        <w:r w:rsidRPr="009C25A3">
          <w:rPr>
            <w:sz w:val="20"/>
            <w:szCs w:val="20"/>
          </w:rPr>
          <w:fldChar w:fldCharType="end"/>
        </w:r>
        <w:r w:rsidRPr="009C25A3">
          <w:rPr>
            <w:sz w:val="20"/>
            <w:szCs w:val="20"/>
          </w:rPr>
          <w:t xml:space="preserve"> of </w:t>
        </w:r>
        <w:r w:rsidRPr="009C25A3">
          <w:rPr>
            <w:sz w:val="20"/>
            <w:szCs w:val="20"/>
          </w:rPr>
          <w:fldChar w:fldCharType="begin"/>
        </w:r>
        <w:r w:rsidRPr="009C25A3">
          <w:rPr>
            <w:sz w:val="20"/>
            <w:szCs w:val="20"/>
          </w:rPr>
          <w:instrText xml:space="preserve"> NUMPAGES  \* Arabic  \* MERGEFORMAT </w:instrText>
        </w:r>
        <w:r w:rsidRPr="009C25A3">
          <w:rPr>
            <w:sz w:val="20"/>
            <w:szCs w:val="20"/>
          </w:rPr>
          <w:fldChar w:fldCharType="separate"/>
        </w:r>
        <w:r w:rsidR="00375F8C">
          <w:rPr>
            <w:noProof/>
            <w:sz w:val="20"/>
            <w:szCs w:val="20"/>
          </w:rPr>
          <w:t>2</w:t>
        </w:r>
        <w:r w:rsidRPr="009C25A3">
          <w:rPr>
            <w:sz w:val="20"/>
            <w:szCs w:val="20"/>
          </w:rPr>
          <w:fldChar w:fldCharType="end"/>
        </w:r>
      </w:p>
      <w:p w:rsidR="009C25A3" w:rsidRDefault="009C25A3" w:rsidP="009C25A3">
        <w:pPr>
          <w:pStyle w:val="Footer"/>
          <w:rPr>
            <w:noProof/>
          </w:rPr>
        </w:pPr>
        <w:r w:rsidRPr="009C25A3">
          <w:rPr>
            <w:noProof/>
          </w:rPr>
          <w:t>Clinical Laboratories Pty Ltd ABN 62 006 823 089</w:t>
        </w:r>
      </w:p>
    </w:sdtContent>
  </w:sdt>
  <w:p w:rsidR="009C25A3" w:rsidRDefault="009C25A3" w:rsidP="009C2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8A7" w:rsidRDefault="002B38A7" w:rsidP="001808DA">
      <w:r>
        <w:separator/>
      </w:r>
    </w:p>
  </w:footnote>
  <w:footnote w:type="continuationSeparator" w:id="0">
    <w:p w:rsidR="002B38A7" w:rsidRDefault="002B38A7" w:rsidP="00180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23" w:rsidRPr="007669B5" w:rsidRDefault="00821023" w:rsidP="00B01900">
    <w:pPr>
      <w:pStyle w:val="ClinicalLabs"/>
      <w:jc w:val="left"/>
      <w:rPr>
        <w:color w:val="FF8000" w:themeColor="background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F1AA9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710B16A"/>
    <w:lvl w:ilvl="0">
      <w:start w:val="1"/>
      <w:numFmt w:val="decimal"/>
      <w:lvlText w:val="%1."/>
      <w:lvlJc w:val="left"/>
      <w:pPr>
        <w:tabs>
          <w:tab w:val="num" w:pos="1492"/>
        </w:tabs>
        <w:ind w:left="1492" w:hanging="360"/>
      </w:pPr>
    </w:lvl>
  </w:abstractNum>
  <w:abstractNum w:abstractNumId="2">
    <w:nsid w:val="FFFFFF7D"/>
    <w:multiLevelType w:val="singleLevel"/>
    <w:tmpl w:val="F32ED982"/>
    <w:lvl w:ilvl="0">
      <w:start w:val="1"/>
      <w:numFmt w:val="decimal"/>
      <w:lvlText w:val="%1."/>
      <w:lvlJc w:val="left"/>
      <w:pPr>
        <w:tabs>
          <w:tab w:val="num" w:pos="1209"/>
        </w:tabs>
        <w:ind w:left="1209" w:hanging="360"/>
      </w:pPr>
    </w:lvl>
  </w:abstractNum>
  <w:abstractNum w:abstractNumId="3">
    <w:nsid w:val="FFFFFF7E"/>
    <w:multiLevelType w:val="singleLevel"/>
    <w:tmpl w:val="A640692A"/>
    <w:lvl w:ilvl="0">
      <w:start w:val="1"/>
      <w:numFmt w:val="decimal"/>
      <w:lvlText w:val="%1."/>
      <w:lvlJc w:val="left"/>
      <w:pPr>
        <w:tabs>
          <w:tab w:val="num" w:pos="926"/>
        </w:tabs>
        <w:ind w:left="926" w:hanging="360"/>
      </w:pPr>
    </w:lvl>
  </w:abstractNum>
  <w:abstractNum w:abstractNumId="4">
    <w:nsid w:val="FFFFFF7F"/>
    <w:multiLevelType w:val="singleLevel"/>
    <w:tmpl w:val="0A7EDC80"/>
    <w:lvl w:ilvl="0">
      <w:start w:val="1"/>
      <w:numFmt w:val="decimal"/>
      <w:lvlText w:val="%1."/>
      <w:lvlJc w:val="left"/>
      <w:pPr>
        <w:tabs>
          <w:tab w:val="num" w:pos="643"/>
        </w:tabs>
        <w:ind w:left="643" w:hanging="360"/>
      </w:pPr>
    </w:lvl>
  </w:abstractNum>
  <w:abstractNum w:abstractNumId="5">
    <w:nsid w:val="FFFFFF80"/>
    <w:multiLevelType w:val="singleLevel"/>
    <w:tmpl w:val="78DACD7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930F03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656A3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B7EB0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75EF8EE"/>
    <w:lvl w:ilvl="0">
      <w:start w:val="1"/>
      <w:numFmt w:val="decimal"/>
      <w:lvlText w:val="%1."/>
      <w:lvlJc w:val="left"/>
      <w:pPr>
        <w:tabs>
          <w:tab w:val="num" w:pos="360"/>
        </w:tabs>
        <w:ind w:left="360" w:hanging="360"/>
      </w:pPr>
    </w:lvl>
  </w:abstractNum>
  <w:abstractNum w:abstractNumId="10">
    <w:nsid w:val="FFFFFF89"/>
    <w:multiLevelType w:val="singleLevel"/>
    <w:tmpl w:val="4A6201CC"/>
    <w:lvl w:ilvl="0">
      <w:start w:val="1"/>
      <w:numFmt w:val="bullet"/>
      <w:lvlText w:val=""/>
      <w:lvlJc w:val="left"/>
      <w:pPr>
        <w:tabs>
          <w:tab w:val="num" w:pos="360"/>
        </w:tabs>
        <w:ind w:left="360" w:hanging="360"/>
      </w:pPr>
      <w:rPr>
        <w:rFonts w:ascii="Symbol" w:hAnsi="Symbol" w:hint="default"/>
      </w:rPr>
    </w:lvl>
  </w:abstractNum>
  <w:abstractNum w:abstractNumId="11">
    <w:nsid w:val="01247849"/>
    <w:multiLevelType w:val="hybridMultilevel"/>
    <w:tmpl w:val="A3C43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0CD45ABF"/>
    <w:multiLevelType w:val="hybridMultilevel"/>
    <w:tmpl w:val="4530D5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0EBA288F"/>
    <w:multiLevelType w:val="hybridMultilevel"/>
    <w:tmpl w:val="ABA2EBE6"/>
    <w:lvl w:ilvl="0" w:tplc="7A105E0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07A2D7B"/>
    <w:multiLevelType w:val="hybridMultilevel"/>
    <w:tmpl w:val="1A7C6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BD6E2A"/>
    <w:multiLevelType w:val="hybridMultilevel"/>
    <w:tmpl w:val="09520A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3487349"/>
    <w:multiLevelType w:val="multilevel"/>
    <w:tmpl w:val="4530D54A"/>
    <w:lvl w:ilvl="0">
      <w:start w:val="1"/>
      <w:numFmt w:val="decimal"/>
      <w:lvlText w:val="%1."/>
      <w:lvlJc w:val="left"/>
      <w:pPr>
        <w:ind w:left="1080" w:hanging="360"/>
      </w:pPr>
      <w:rPr>
        <w:rFonts w:ascii="Arial" w:hAnsi="Arial"/>
        <w:color w:val="333333"/>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496324B1"/>
    <w:multiLevelType w:val="hybridMultilevel"/>
    <w:tmpl w:val="8A46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D826DA"/>
    <w:multiLevelType w:val="multilevel"/>
    <w:tmpl w:val="4530D54A"/>
    <w:lvl w:ilvl="0">
      <w:start w:val="1"/>
      <w:numFmt w:val="decimal"/>
      <w:lvlText w:val="%1."/>
      <w:lvlJc w:val="left"/>
      <w:pPr>
        <w:ind w:left="720" w:hanging="360"/>
      </w:pPr>
      <w:rPr>
        <w:rFonts w:ascii="Arial" w:hAnsi="Arial"/>
        <w:color w:val="333333"/>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A1E356B"/>
    <w:multiLevelType w:val="hybridMultilevel"/>
    <w:tmpl w:val="BBE6F640"/>
    <w:lvl w:ilvl="0" w:tplc="AA0AEE88">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14"/>
  </w:num>
  <w:num w:numId="14">
    <w:abstractNumId w:val="11"/>
  </w:num>
  <w:num w:numId="15">
    <w:abstractNumId w:val="15"/>
  </w:num>
  <w:num w:numId="16">
    <w:abstractNumId w:val="12"/>
  </w:num>
  <w:num w:numId="17">
    <w:abstractNumId w:val="18"/>
  </w:num>
  <w:num w:numId="18">
    <w:abstractNumId w:val="16"/>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3C"/>
    <w:rsid w:val="00034A83"/>
    <w:rsid w:val="000E40E4"/>
    <w:rsid w:val="00157C84"/>
    <w:rsid w:val="00162676"/>
    <w:rsid w:val="001808DA"/>
    <w:rsid w:val="001823BC"/>
    <w:rsid w:val="00252D78"/>
    <w:rsid w:val="002540E8"/>
    <w:rsid w:val="002A0F69"/>
    <w:rsid w:val="002B38A7"/>
    <w:rsid w:val="002B4C21"/>
    <w:rsid w:val="0034379C"/>
    <w:rsid w:val="003510E0"/>
    <w:rsid w:val="00354A53"/>
    <w:rsid w:val="00375F8C"/>
    <w:rsid w:val="003F4DD2"/>
    <w:rsid w:val="004449B7"/>
    <w:rsid w:val="00450B94"/>
    <w:rsid w:val="004709B2"/>
    <w:rsid w:val="00470DDB"/>
    <w:rsid w:val="004D5C4E"/>
    <w:rsid w:val="0053700B"/>
    <w:rsid w:val="005E5160"/>
    <w:rsid w:val="005F3FC1"/>
    <w:rsid w:val="00604660"/>
    <w:rsid w:val="006100AC"/>
    <w:rsid w:val="00611694"/>
    <w:rsid w:val="00672EC5"/>
    <w:rsid w:val="00732732"/>
    <w:rsid w:val="007669B5"/>
    <w:rsid w:val="007E6028"/>
    <w:rsid w:val="007F60B4"/>
    <w:rsid w:val="00800D01"/>
    <w:rsid w:val="00821023"/>
    <w:rsid w:val="00837BC2"/>
    <w:rsid w:val="008C4FCD"/>
    <w:rsid w:val="00962381"/>
    <w:rsid w:val="00962AA2"/>
    <w:rsid w:val="009C0422"/>
    <w:rsid w:val="009C25A3"/>
    <w:rsid w:val="00A2220C"/>
    <w:rsid w:val="00A24355"/>
    <w:rsid w:val="00A35070"/>
    <w:rsid w:val="00A63C49"/>
    <w:rsid w:val="00AB5196"/>
    <w:rsid w:val="00AC0645"/>
    <w:rsid w:val="00AC6421"/>
    <w:rsid w:val="00B01900"/>
    <w:rsid w:val="00B075C3"/>
    <w:rsid w:val="00B161B5"/>
    <w:rsid w:val="00B35130"/>
    <w:rsid w:val="00B473F0"/>
    <w:rsid w:val="00B815CC"/>
    <w:rsid w:val="00B85165"/>
    <w:rsid w:val="00BB6F83"/>
    <w:rsid w:val="00BC795C"/>
    <w:rsid w:val="00C333A9"/>
    <w:rsid w:val="00CB4F94"/>
    <w:rsid w:val="00CC0237"/>
    <w:rsid w:val="00D42FD3"/>
    <w:rsid w:val="00D86F32"/>
    <w:rsid w:val="00D946C6"/>
    <w:rsid w:val="00DB69FD"/>
    <w:rsid w:val="00E54116"/>
    <w:rsid w:val="00E551F6"/>
    <w:rsid w:val="00F10008"/>
    <w:rsid w:val="00F10756"/>
    <w:rsid w:val="00F46876"/>
    <w:rsid w:val="00F5613C"/>
    <w:rsid w:val="00FE42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50ECFC7-4D15-4213-9CCD-EEC7E2F4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0E8"/>
    <w:pPr>
      <w:spacing w:after="0" w:line="240" w:lineRule="auto"/>
      <w:ind w:right="2098"/>
    </w:pPr>
    <w:rPr>
      <w:rFonts w:ascii="Arial" w:hAnsi="Arial"/>
      <w:sz w:val="24"/>
    </w:rPr>
  </w:style>
  <w:style w:type="paragraph" w:styleId="Heading1">
    <w:name w:val="heading 1"/>
    <w:basedOn w:val="Normal"/>
    <w:next w:val="Normal"/>
    <w:link w:val="Heading1Char"/>
    <w:qFormat/>
    <w:rsid w:val="005E5160"/>
    <w:pPr>
      <w:keepNext/>
      <w:outlineLvl w:val="0"/>
    </w:pPr>
    <w:rPr>
      <w:rFonts w:eastAsia="Times New Roman" w:cs="Times New Roman"/>
      <w:kern w:val="32"/>
      <w:sz w:val="32"/>
      <w:szCs w:val="32"/>
      <w:lang w:val="en-AU"/>
    </w:rPr>
  </w:style>
  <w:style w:type="paragraph" w:styleId="Heading2">
    <w:name w:val="heading 2"/>
    <w:basedOn w:val="Normal"/>
    <w:next w:val="Normal"/>
    <w:link w:val="Heading2Char"/>
    <w:qFormat/>
    <w:rsid w:val="0034379C"/>
    <w:pPr>
      <w:keepNext/>
      <w:outlineLvl w:val="1"/>
    </w:pPr>
    <w:rPr>
      <w:rFonts w:eastAsia="Times New Roman" w:cs="Times New Roman"/>
      <w:b/>
      <w:noProof/>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8DA"/>
    <w:pPr>
      <w:tabs>
        <w:tab w:val="center" w:pos="4513"/>
        <w:tab w:val="right" w:pos="9026"/>
      </w:tabs>
    </w:pPr>
  </w:style>
  <w:style w:type="character" w:customStyle="1" w:styleId="HeaderChar">
    <w:name w:val="Header Char"/>
    <w:basedOn w:val="DefaultParagraphFont"/>
    <w:link w:val="Header"/>
    <w:uiPriority w:val="99"/>
    <w:rsid w:val="001808DA"/>
  </w:style>
  <w:style w:type="paragraph" w:styleId="Footer">
    <w:name w:val="footer"/>
    <w:basedOn w:val="Normal"/>
    <w:link w:val="FooterChar"/>
    <w:autoRedefine/>
    <w:uiPriority w:val="99"/>
    <w:unhideWhenUsed/>
    <w:qFormat/>
    <w:rsid w:val="009C25A3"/>
    <w:pPr>
      <w:tabs>
        <w:tab w:val="center" w:pos="4513"/>
        <w:tab w:val="right" w:pos="9026"/>
      </w:tabs>
    </w:pPr>
    <w:rPr>
      <w:sz w:val="16"/>
    </w:rPr>
  </w:style>
  <w:style w:type="character" w:customStyle="1" w:styleId="FooterChar">
    <w:name w:val="Footer Char"/>
    <w:basedOn w:val="DefaultParagraphFont"/>
    <w:link w:val="Footer"/>
    <w:uiPriority w:val="99"/>
    <w:rsid w:val="009C25A3"/>
    <w:rPr>
      <w:rFonts w:ascii="Arial" w:hAnsi="Arial"/>
      <w:sz w:val="16"/>
    </w:rPr>
  </w:style>
  <w:style w:type="paragraph" w:styleId="BalloonText">
    <w:name w:val="Balloon Text"/>
    <w:basedOn w:val="Normal"/>
    <w:link w:val="BalloonTextChar"/>
    <w:uiPriority w:val="99"/>
    <w:semiHidden/>
    <w:unhideWhenUsed/>
    <w:rsid w:val="004709B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4709B2"/>
    <w:rPr>
      <w:rFonts w:ascii="Lucida Grande" w:hAnsi="Lucida Grande" w:cs="Lucida Grande"/>
      <w:sz w:val="18"/>
      <w:szCs w:val="18"/>
    </w:rPr>
  </w:style>
  <w:style w:type="character" w:customStyle="1" w:styleId="Heading1Char">
    <w:name w:val="Heading 1 Char"/>
    <w:basedOn w:val="DefaultParagraphFont"/>
    <w:link w:val="Heading1"/>
    <w:rsid w:val="005E5160"/>
    <w:rPr>
      <w:rFonts w:ascii="Arial" w:eastAsia="Times New Roman" w:hAnsi="Arial" w:cs="Times New Roman"/>
      <w:kern w:val="32"/>
      <w:sz w:val="32"/>
      <w:szCs w:val="32"/>
      <w:lang w:val="en-AU"/>
    </w:rPr>
  </w:style>
  <w:style w:type="character" w:customStyle="1" w:styleId="Heading2Char">
    <w:name w:val="Heading 2 Char"/>
    <w:basedOn w:val="DefaultParagraphFont"/>
    <w:link w:val="Heading2"/>
    <w:rsid w:val="0034379C"/>
    <w:rPr>
      <w:rFonts w:ascii="Arial" w:eastAsia="Times New Roman" w:hAnsi="Arial" w:cs="Times New Roman"/>
      <w:b/>
      <w:noProof/>
      <w:sz w:val="24"/>
      <w:szCs w:val="24"/>
      <w:lang w:val="en-AU"/>
    </w:rPr>
  </w:style>
  <w:style w:type="paragraph" w:styleId="ListBullet">
    <w:name w:val="List Bullet"/>
    <w:basedOn w:val="Normal"/>
    <w:autoRedefine/>
    <w:qFormat/>
    <w:rsid w:val="00354A53"/>
    <w:pPr>
      <w:numPr>
        <w:numId w:val="20"/>
      </w:numPr>
      <w:tabs>
        <w:tab w:val="left" w:pos="357"/>
      </w:tabs>
    </w:pPr>
    <w:rPr>
      <w:rFonts w:eastAsia="Times New Roman" w:cs="Times New Roman"/>
      <w:szCs w:val="24"/>
      <w:lang w:val="en-AU"/>
    </w:rPr>
  </w:style>
  <w:style w:type="table" w:styleId="TableGrid">
    <w:name w:val="Table Grid"/>
    <w:basedOn w:val="TableNormal"/>
    <w:rsid w:val="001823BC"/>
    <w:pPr>
      <w:spacing w:after="0" w:line="216" w:lineRule="exact"/>
    </w:pPr>
    <w:rPr>
      <w:rFonts w:ascii="Arial" w:eastAsia="Times New Roman" w:hAnsi="Arial" w:cs="Times New Roman"/>
      <w:sz w:val="18"/>
      <w:szCs w:val="20"/>
      <w:lang w:val="en-AU" w:bidi="x-none"/>
    </w:rPr>
    <w:tblPr>
      <w:tblInd w:w="0" w:type="dxa"/>
      <w:tblCellMar>
        <w:top w:w="0" w:type="dxa"/>
        <w:left w:w="108" w:type="dxa"/>
        <w:bottom w:w="0" w:type="dxa"/>
        <w:right w:w="108" w:type="dxa"/>
      </w:tblCellMar>
    </w:tblPr>
  </w:style>
  <w:style w:type="paragraph" w:customStyle="1" w:styleId="FooterABN">
    <w:name w:val="Footer ABN"/>
    <w:basedOn w:val="Footer"/>
    <w:qFormat/>
    <w:rsid w:val="00821023"/>
    <w:rPr>
      <w:rFonts w:ascii="Georgia" w:hAnsi="Georgia"/>
      <w:sz w:val="14"/>
    </w:rPr>
  </w:style>
  <w:style w:type="character" w:styleId="FollowedHyperlink">
    <w:name w:val="FollowedHyperlink"/>
    <w:basedOn w:val="DefaultParagraphFont"/>
    <w:uiPriority w:val="99"/>
    <w:unhideWhenUsed/>
    <w:qFormat/>
    <w:rsid w:val="003510E0"/>
    <w:rPr>
      <w:color w:val="808080" w:themeColor="background1" w:themeShade="80"/>
      <w:u w:val="single"/>
    </w:rPr>
  </w:style>
  <w:style w:type="character" w:styleId="Hyperlink">
    <w:name w:val="Hyperlink"/>
    <w:basedOn w:val="DefaultParagraphFont"/>
    <w:uiPriority w:val="99"/>
    <w:unhideWhenUsed/>
    <w:qFormat/>
    <w:rsid w:val="00A63C49"/>
    <w:rPr>
      <w:color w:val="333333"/>
      <w:u w:val="single"/>
    </w:rPr>
  </w:style>
  <w:style w:type="paragraph" w:styleId="ListParagraph">
    <w:name w:val="List Paragraph"/>
    <w:basedOn w:val="Normal"/>
    <w:uiPriority w:val="34"/>
    <w:rsid w:val="00354A53"/>
    <w:pPr>
      <w:ind w:left="720"/>
      <w:contextualSpacing/>
    </w:pPr>
  </w:style>
  <w:style w:type="paragraph" w:customStyle="1" w:styleId="Address">
    <w:name w:val="Address"/>
    <w:basedOn w:val="Normal"/>
    <w:rsid w:val="002540E8"/>
    <w:pPr>
      <w:ind w:right="0"/>
      <w:jc w:val="right"/>
    </w:pPr>
    <w:rPr>
      <w:rFonts w:eastAsia="Times New Roman" w:cs="Times New Roman"/>
      <w:sz w:val="16"/>
      <w:szCs w:val="20"/>
    </w:rPr>
  </w:style>
  <w:style w:type="paragraph" w:customStyle="1" w:styleId="ClinicalLabs">
    <w:name w:val="Clinical Labs"/>
    <w:basedOn w:val="Address"/>
    <w:rsid w:val="00B01900"/>
    <w:rPr>
      <w:b/>
      <w:bCs/>
      <w:color w:val="8137C1" w:themeColor="text2"/>
      <w:sz w:val="22"/>
    </w:rPr>
  </w:style>
  <w:style w:type="paragraph" w:styleId="Revision">
    <w:name w:val="Revision"/>
    <w:hidden/>
    <w:uiPriority w:val="99"/>
    <w:semiHidden/>
    <w:rsid w:val="00B075C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7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geran\AppData\Local\Microsoft\Windows\Temporary%20Internet%20Files\Content.Outlook\R20Z2M2R\CCP003%20Letterhead%20+%20Header%20FA1%20(2).dotx" TargetMode="External"/></Relationships>
</file>

<file path=word/theme/theme1.xml><?xml version="1.0" encoding="utf-8"?>
<a:theme xmlns:a="http://schemas.openxmlformats.org/drawingml/2006/main" name="ClincalLabs">
  <a:themeElements>
    <a:clrScheme name="ClinicalLabs">
      <a:dk1>
        <a:sysClr val="windowText" lastClr="000000"/>
      </a:dk1>
      <a:lt1>
        <a:sysClr val="window" lastClr="FFFFFF"/>
      </a:lt1>
      <a:dk2>
        <a:srgbClr val="8137C1"/>
      </a:dk2>
      <a:lt2>
        <a:srgbClr val="FF8000"/>
      </a:lt2>
      <a:accent1>
        <a:srgbClr val="FF8000"/>
      </a:accent1>
      <a:accent2>
        <a:srgbClr val="8137C1"/>
      </a:accent2>
      <a:accent3>
        <a:srgbClr val="FF8000"/>
      </a:accent3>
      <a:accent4>
        <a:srgbClr val="8137C1"/>
      </a:accent4>
      <a:accent5>
        <a:srgbClr val="FF8000"/>
      </a:accent5>
      <a:accent6>
        <a:srgbClr val="8137C1"/>
      </a:accent6>
      <a:hlink>
        <a:srgbClr val="000000"/>
      </a:hlink>
      <a:folHlink>
        <a:srgbClr val="808080"/>
      </a:folHlink>
    </a:clrScheme>
    <a:fontScheme name="ClinicalLab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lincalLabs" id="{C3C30DCC-E27A-4C67-9DB7-3D5C7A179AC1}" vid="{52A8C8BF-943E-4F0C-BDB4-205C1C9000B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A3CB9-7A10-4923-9CAE-E70E3A51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CCP003 Letterhead + Header FA1 (2)</Template>
  <TotalTime>0</TotalTime>
  <Pages>3</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Healthscope Ltd</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Geran</dc:creator>
  <cp:lastModifiedBy>Joe Geran</cp:lastModifiedBy>
  <cp:revision>2</cp:revision>
  <cp:lastPrinted>2016-01-12T06:04:00Z</cp:lastPrinted>
  <dcterms:created xsi:type="dcterms:W3CDTF">2016-06-21T07:14:00Z</dcterms:created>
  <dcterms:modified xsi:type="dcterms:W3CDTF">2016-06-21T07:14:00Z</dcterms:modified>
</cp:coreProperties>
</file>